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right"/>
        <w:rPr/>
      </w:pPr>
      <w:r>
        <w:rPr/>
        <w:t xml:space="preserve">Приложение </w:t>
      </w:r>
      <w:r>
        <w:rPr/>
        <w:t>5</w:t>
      </w:r>
      <w:r>
        <w:rPr/>
        <w:t xml:space="preserve"> к ТЗ</w:t>
      </w:r>
    </w:p>
    <w:p>
      <w:pPr>
        <w:pStyle w:val="Standard"/>
        <w:rPr>
          <w:shd w:fill="FFFF00" w:val="clear"/>
        </w:rPr>
      </w:pPr>
      <w:r>
        <w:rPr>
          <w:shd w:fill="FFFF00" w:val="clear"/>
        </w:rPr>
      </w:r>
    </w:p>
    <w:p>
      <w:pPr>
        <w:pStyle w:val="Standard"/>
        <w:widowControl w:val="false"/>
        <w:ind w:left="720" w:right="0" w:hanging="0"/>
        <w:jc w:val="center"/>
        <w:rPr/>
      </w:pPr>
      <w:r>
        <w:rPr>
          <w:b/>
          <w:szCs w:val="26"/>
          <w:lang w:eastAsia="en-US"/>
        </w:rPr>
        <w:t>Форма представления результатов расчетов установившихся режимов в целях выбора параметров</w:t>
      </w:r>
    </w:p>
    <w:p>
      <w:pPr>
        <w:pStyle w:val="Standard"/>
        <w:widowControl w:val="false"/>
        <w:ind w:left="720" w:right="0" w:hanging="0"/>
        <w:jc w:val="center"/>
        <w:rPr/>
      </w:pPr>
      <w:r>
        <w:rPr>
          <w:b/>
          <w:szCs w:val="26"/>
          <w:lang w:eastAsia="en-US"/>
        </w:rPr>
        <w:t xml:space="preserve">основного электротехнического оборудования и элементов РУ </w:t>
      </w:r>
    </w:p>
    <w:p>
      <w:pPr>
        <w:pStyle w:val="Standard"/>
        <w:widowControl w:val="false"/>
        <w:ind w:left="720" w:right="0" w:hanging="0"/>
        <w:rPr>
          <w:i/>
          <w:i/>
          <w:szCs w:val="26"/>
          <w:lang w:eastAsia="en-US"/>
        </w:rPr>
      </w:pPr>
      <w:r>
        <w:rPr>
          <w:i/>
          <w:szCs w:val="26"/>
          <w:lang w:eastAsia="en-US"/>
        </w:rPr>
      </w:r>
    </w:p>
    <w:tbl>
      <w:tblPr>
        <w:tblW w:w="1304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8"/>
        <w:gridCol w:w="2127"/>
        <w:gridCol w:w="2127"/>
        <w:gridCol w:w="2126"/>
        <w:gridCol w:w="2126"/>
        <w:gridCol w:w="2125"/>
      </w:tblGrid>
      <w:tr>
        <w:trPr>
          <w:trHeight w:val="960" w:hRule="atLeast"/>
        </w:trPr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  <w:lang w:eastAsia="en-US"/>
              </w:rPr>
              <w:t>Элемент РУ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Оборудование </w:t>
            </w:r>
            <w:r>
              <w:rPr>
                <w:color w:val="000000"/>
                <w:sz w:val="22"/>
                <w:szCs w:val="22"/>
                <w:vertAlign w:val="superscript"/>
                <w:lang w:eastAsia="en-US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  <w:lang w:eastAsia="en-US"/>
              </w:rPr>
              <w:t>Максимальный расчетный ток в нормальной схеме или схеме с отключением одного электросетевого элемента, А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  <w:lang w:eastAsia="en-US"/>
              </w:rPr>
              <w:t>Максимальный расчетный ток в схеме с отключением двух электросетевых элементов, А</w:t>
            </w:r>
          </w:p>
        </w:tc>
      </w:tr>
      <w:tr>
        <w:trPr>
          <w:trHeight w:val="330" w:hRule="atLeast"/>
        </w:trPr>
        <w:tc>
          <w:tcPr>
            <w:tcW w:w="24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DStyleparagraph"/>
              <w:widowControl w:val="false"/>
              <w:rPr/>
            </w:pPr>
            <w:r>
              <w:rPr/>
            </w:r>
          </w:p>
        </w:tc>
        <w:tc>
          <w:tcPr>
            <w:tcW w:w="21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DStyleparagraph"/>
              <w:widowControl w:val="false"/>
              <w:rPr/>
            </w:pPr>
            <w:r>
              <w:rPr/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  <w:lang w:eastAsia="en-US"/>
              </w:rPr>
              <w:t>зима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  <w:lang w:eastAsia="en-US"/>
              </w:rPr>
              <w:t>лето</w:t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  <w:lang w:eastAsia="en-US"/>
              </w:rPr>
              <w:t>зима</w:t>
            </w:r>
          </w:p>
        </w:tc>
        <w:tc>
          <w:tcPr>
            <w:tcW w:w="212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  <w:lang w:eastAsia="en-US"/>
              </w:rPr>
              <w:t>лето</w:t>
            </w:r>
          </w:p>
        </w:tc>
      </w:tr>
      <w:tr>
        <w:trPr>
          <w:trHeight w:val="1380" w:hRule="atLeast"/>
        </w:trPr>
        <w:tc>
          <w:tcPr>
            <w:tcW w:w="240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  <w:lang w:eastAsia="en-US"/>
              </w:rPr>
              <w:t>Наименование присоединения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  <w:lang w:eastAsia="en-US"/>
              </w:rPr>
              <w:t>в цепи ЛЭП ((А)Т, СКРМ)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12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</w:tr>
      <w:tr>
        <w:trPr>
          <w:trHeight w:val="1320" w:hRule="atLeast"/>
        </w:trPr>
        <w:tc>
          <w:tcPr>
            <w:tcW w:w="24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DStyleparagraph"/>
              <w:widowControl w:val="false"/>
              <w:rPr/>
            </w:pPr>
            <w:r>
              <w:rPr/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  <w:lang w:eastAsia="en-US"/>
              </w:rPr>
              <w:t>в цепях выключателей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12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</w:tr>
      <w:tr>
        <w:trPr>
          <w:trHeight w:val="330" w:hRule="atLeast"/>
        </w:trPr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  <w:lang w:eastAsia="en-US"/>
              </w:rPr>
              <w:t>Наименование системы или секции шин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/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шины (ошиновка) 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12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</w:tr>
    </w:tbl>
    <w:p>
      <w:pPr>
        <w:pStyle w:val="Standard"/>
        <w:widowControl w:val="false"/>
        <w:ind w:left="720" w:right="0" w:hanging="0"/>
        <w:rPr>
          <w:i/>
          <w:i/>
          <w:szCs w:val="26"/>
          <w:lang w:eastAsia="en-US"/>
        </w:rPr>
      </w:pPr>
      <w:r>
        <w:rPr>
          <w:i/>
          <w:szCs w:val="26"/>
          <w:lang w:eastAsia="en-US"/>
        </w:rPr>
      </w:r>
    </w:p>
    <w:p>
      <w:pPr>
        <w:pStyle w:val="Standard"/>
        <w:widowControl w:val="false"/>
        <w:ind w:left="720" w:right="0" w:hanging="0"/>
        <w:rPr/>
      </w:pPr>
      <w:r>
        <w:rPr>
          <w:i/>
          <w:sz w:val="20"/>
          <w:lang w:eastAsia="en-US"/>
        </w:rPr>
        <w:t>Примечания:</w:t>
      </w:r>
    </w:p>
    <w:p>
      <w:pPr>
        <w:pStyle w:val="Standard"/>
        <w:widowControl w:val="false"/>
        <w:ind w:left="709" w:right="0" w:firstLine="709"/>
        <w:rPr/>
      </w:pPr>
      <w:r>
        <w:rPr>
          <w:i/>
          <w:sz w:val="20"/>
          <w:lang w:eastAsia="en-US"/>
        </w:rPr>
        <w:t>1 - для схем с подключением оборудования через развилку из выключателей значения указываются отдельно для линейного оборудования и оборудования в цепи выключателей.</w:t>
      </w:r>
    </w:p>
    <w:p>
      <w:pPr>
        <w:pStyle w:val="Standard"/>
        <w:rPr>
          <w:shd w:fill="FFFF00" w:val="clear"/>
        </w:rPr>
      </w:pPr>
      <w:r>
        <w:rPr>
          <w:shd w:fill="FFFF00" w:val="clear"/>
        </w:rPr>
      </w:r>
    </w:p>
    <w:p>
      <w:pPr>
        <w:pStyle w:val="Standard"/>
        <w:rPr>
          <w:shd w:fill="FFFF00" w:val="clear"/>
        </w:rPr>
      </w:pPr>
      <w:r>
        <w:rPr/>
      </w:r>
    </w:p>
    <w:sectPr>
      <w:type w:val="nextPage"/>
      <w:pgSz w:orient="landscape" w:w="16838" w:h="11906"/>
      <w:pgMar w:left="1134" w:right="1134" w:gutter="0" w:header="0" w:top="1134" w:footer="0" w:bottom="56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hi-IN"/>
    </w:rPr>
  </w:style>
  <w:style w:type="paragraph" w:styleId="Style14" w:customStyle="1">
    <w:name w:val="Заголовок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 w:customStyle="1">
    <w:name w:val="List"/>
    <w:basedOn w:val="Textbody"/>
    <w:pPr/>
    <w:rPr>
      <w:rFonts w:cs="Lohit Devanagari"/>
    </w:rPr>
  </w:style>
  <w:style w:type="paragraph" w:styleId="Style17" w:customStyle="1">
    <w:name w:val="Caption"/>
    <w:basedOn w:val="Standard"/>
    <w:qFormat/>
    <w:pPr>
      <w:spacing w:before="120" w:after="120"/>
    </w:pPr>
    <w:rPr>
      <w:rFonts w:cs="Lohit Devanagari"/>
      <w:i/>
      <w:iCs/>
      <w:sz w:val="24"/>
      <w:szCs w:val="24"/>
    </w:rPr>
  </w:style>
  <w:style w:type="paragraph" w:styleId="Style18" w:customStyle="1">
    <w:name w:val="Указатель"/>
    <w:basedOn w:val="Standard"/>
    <w:qFormat/>
    <w:pPr/>
    <w:rPr>
      <w:rFonts w:cs="Lohit Devanagari"/>
    </w:rPr>
  </w:style>
  <w:style w:type="paragraph" w:styleId="DStyleparagraph" w:default="1">
    <w:name w:val="DStyle_paragraph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Standard" w:customStyle="1">
    <w:name w:val="Standard"/>
    <w:basedOn w:val="DStyleparagraph"/>
    <w:qFormat/>
    <w:pPr/>
    <w:rPr/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LibreOffice/7.5.5.2$Windows_X86_64 LibreOffice_project/ca8fe7424262805f223b9a2334bc7181abbcbf5e</Application>
  <AppVersion>15.0000</AppVersion>
  <Pages>1</Pages>
  <Words>93</Words>
  <Characters>607</Characters>
  <CharactersWithSpaces>684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2024-11-28T11:05:07Z</dcterms:created>
  <dc:creator>fokin_kv</dc:creator>
  <dc:description/>
  <dc:language>ru-RU</dc:language>
  <cp:lastModifiedBy/>
  <dcterms:modified xsi:type="dcterms:W3CDTF">2025-02-28T15:12:40Z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